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Quarterly Business Review</w:t>
      </w:r>
    </w:p>
    <w:p>
      <w:r>
        <w:rPr>
          <w:color w:val="333333"/>
          <w:sz w:val="32"/>
          <w:szCs w:val="32"/>
        </w:rPr>
        <w:t xml:space="preserve">[Client name]</w:t>
      </w:r>
    </w:p>
    <w:p>
      <w:r>
        <w:rPr>
          <w:color w:val="666666"/>
        </w:rPr>
        <w:t xml:space="preserve">[Quarter and year]  ·  Prepared by [Your MSP]  ·  [Date]</w:t>
      </w:r>
    </w:p>
    <w:p>
      <w:pPr>
        <w:spacing w:after="240"/>
      </w:pPr>
      <w:r>
        <w:rPr>
          <w:color w:val="666666"/>
        </w:rPr>
        <w:t xml:space="preserve">Attendees: [Client owner / ops lead / finance]  ·  [Your account manager / vCIO]</w:t>
      </w:r>
    </w:p>
    <w:p>
      <w:r>
        <w:rPr>
          <w:i/>
          <w:color w:val="666666"/>
        </w:rPr>
        <w:t xml:space="preserve">How to use this template: fill it in the week before the meeting, not the night before. Delete every guidance paragraph (like this one) before you send it. If a section has nothing worth saying this quarter, cut the section — a short QBR that lands beats a long one that doesn't.</w:t>
      </w:r>
    </w:p>
    <w:p>
      <w:pPr>
        <w:pStyle w:val="Heading1"/>
      </w:pPr>
      <w:r>
        <w:t xml:space="preserve">Agenda</w:t>
      </w:r>
    </w:p>
    <w:tbl>
      <w:tblPr>
        <w:tblW w:w="8640" w:type="dxa"/>
        <w:tblBorders>
          <w:top w:val="single" w:sz="4" w:color="D0D0D0"/>
          <w:left w:val="single" w:sz="4" w:color="D0D0D0"/>
          <w:bottom w:val="single" w:sz="4" w:color="D0D0D0"/>
          <w:right w:val="single" w:sz="4" w:color="D0D0D0"/>
          <w:insideH w:val="single" w:sz="4" w:color="D0D0D0"/>
          <w:insideV w:val="single" w:sz="4" w:color="D0D0D0"/>
        </w:tblBorders>
        <w:tblLayout w:type="fixed"/>
      </w:tblPr>
      <w:tblGrid>
        <w:gridCol w:w="600"/>
        <w:gridCol w:w="6840"/>
        <w:gridCol w:w="1200"/>
      </w:tblGrid>
      <w:tr>
        <w:tc>
          <w:tcPr>
            <w:tcW w:w="6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#</w:t>
            </w:r>
          </w:p>
        </w:tc>
        <w:tc>
          <w:tcPr>
            <w:tcW w:w="684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Item</w:t>
            </w:r>
          </w:p>
        </w:tc>
        <w:tc>
          <w:tcPr>
            <w:tcW w:w="12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Time</w:t>
            </w:r>
          </w:p>
        </w:tc>
      </w:tr>
      <w:tr>
        <w:tc>
          <w:tcPr>
            <w:tcW w:w="600" w:type="dxa"/>
          </w:tcPr>
          <w:p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6840" w:type="dxa"/>
          </w:tcPr>
          <w:p>
            <w:r>
              <w:rPr>
                <w:sz w:val="18"/>
                <w:szCs w:val="18"/>
              </w:rPr>
              <w:t xml:space="preserve">Wins and service scorecard</w:t>
            </w:r>
          </w:p>
        </w:tc>
        <w:tc>
          <w:tcPr>
            <w:tcW w:w="1200" w:type="dxa"/>
          </w:tcPr>
          <w:p>
            <w:r>
              <w:rPr>
                <w:sz w:val="18"/>
                <w:szCs w:val="18"/>
              </w:rPr>
              <w:t xml:space="preserve">10 min</w:t>
            </w:r>
          </w:p>
        </w:tc>
      </w:tr>
      <w:tr>
        <w:tc>
          <w:tcPr>
            <w:tcW w:w="600" w:type="dxa"/>
          </w:tcPr>
          <w:p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6840" w:type="dxa"/>
          </w:tcPr>
          <w:p>
            <w:r>
              <w:rPr>
                <w:sz w:val="18"/>
                <w:szCs w:val="18"/>
              </w:rPr>
              <w:t xml:space="preserve">What changed in your environment</w:t>
            </w:r>
          </w:p>
        </w:tc>
        <w:tc>
          <w:tcPr>
            <w:tcW w:w="1200" w:type="dxa"/>
          </w:tcPr>
          <w:p>
            <w:r>
              <w:rPr>
                <w:sz w:val="18"/>
                <w:szCs w:val="18"/>
              </w:rPr>
              <w:t xml:space="preserve">10 min</w:t>
            </w:r>
          </w:p>
        </w:tc>
      </w:tr>
      <w:tr>
        <w:tc>
          <w:tcPr>
            <w:tcW w:w="600" w:type="dxa"/>
          </w:tcPr>
          <w:p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6840" w:type="dxa"/>
          </w:tcPr>
          <w:p>
            <w:r>
              <w:rPr>
                <w:sz w:val="18"/>
                <w:szCs w:val="18"/>
              </w:rPr>
              <w:t xml:space="preserve">Commitments from last quarter — what we said, what happened</w:t>
            </w:r>
          </w:p>
        </w:tc>
        <w:tc>
          <w:tcPr>
            <w:tcW w:w="1200" w:type="dxa"/>
          </w:tcPr>
          <w:p>
            <w:r>
              <w:rPr>
                <w:sz w:val="18"/>
                <w:szCs w:val="18"/>
              </w:rPr>
              <w:t xml:space="preserve">10 min</w:t>
            </w:r>
          </w:p>
        </w:tc>
      </w:tr>
      <w:tr>
        <w:tc>
          <w:tcPr>
            <w:tcW w:w="600" w:type="dxa"/>
          </w:tcPr>
          <w:p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6840" w:type="dxa"/>
          </w:tcPr>
          <w:p>
            <w:r>
              <w:rPr>
                <w:sz w:val="18"/>
                <w:szCs w:val="18"/>
              </w:rPr>
              <w:t xml:space="preserve">Recommendations and budget</w:t>
            </w:r>
          </w:p>
        </w:tc>
        <w:tc>
          <w:tcPr>
            <w:tcW w:w="1200" w:type="dxa"/>
          </w:tcPr>
          <w:p>
            <w:r>
              <w:rPr>
                <w:sz w:val="18"/>
                <w:szCs w:val="18"/>
              </w:rPr>
              <w:t xml:space="preserve">20 min</w:t>
            </w:r>
          </w:p>
        </w:tc>
      </w:tr>
      <w:tr>
        <w:tc>
          <w:tcPr>
            <w:tcW w:w="600" w:type="dxa"/>
          </w:tcPr>
          <w:p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w="6840" w:type="dxa"/>
          </w:tcPr>
          <w:p>
            <w:r>
              <w:rPr>
                <w:sz w:val="18"/>
                <w:szCs w:val="18"/>
              </w:rPr>
              <w:t xml:space="preserve">Next steps and date for next review</w:t>
            </w:r>
          </w:p>
        </w:tc>
        <w:tc>
          <w:tcPr>
            <w:tcW w:w="1200" w:type="dxa"/>
          </w:tcPr>
          <w:p>
            <w:r>
              <w:rPr>
                <w:sz w:val="18"/>
                <w:szCs w:val="18"/>
              </w:rPr>
              <w:t xml:space="preserve">10 min</w:t>
            </w:r>
          </w:p>
        </w:tc>
      </w:tr>
    </w:tbl>
    <w:p>
      <w:pPr>
        <w:pStyle w:val="Heading1"/>
      </w:pPr>
      <w:r>
        <w:t xml:space="preserve">1. Executive summary</w:t>
      </w:r>
    </w:p>
    <w:p>
      <w:r>
        <w:rPr>
          <w:i/>
          <w:color w:val="666666"/>
        </w:rPr>
        <w:t xml:space="preserve">Guidance: lead with what the quarter meant for their business, in their language. Never open with ticket counts — somewhere in that room is a CFO quietly dividing your ticket count by what they pay you. Open with the outcome: what stayed up, what got faster, what risk got retired.</w:t>
      </w:r>
    </w:p>
    <w:p>
      <w:r>
        <w:rPr>
          <w:b/>
        </w:rPr>
        <w:t xml:space="preserve">The quarter in three sentences:</w:t>
      </w:r>
    </w:p>
    <w:p>
      <w:r>
        <w:t xml:space="preserve">[What we protected or improved, in business terms — e.g. "Zero downtime through your busiest invoicing month."]</w:t>
      </w:r>
    </w:p>
    <w:p>
      <w:r>
        <w:t xml:space="preserve">[The one thing that changed — e.g. a migration completed, a site added, a threat handled.]</w:t>
      </w:r>
    </w:p>
    <w:p>
      <w:r>
        <w:t xml:space="preserve">[The one decision we need from you this quarter, previewed here so it isn't a surprise on page 5.]</w:t>
      </w:r>
    </w:p>
    <w:p>
      <w:pPr>
        <w:pStyle w:val="Heading1"/>
      </w:pPr>
      <w:r>
        <w:t xml:space="preserve">2. Service scorecard</w:t>
      </w:r>
    </w:p>
    <w:p>
      <w:r>
        <w:rPr>
          <w:i/>
          <w:color w:val="666666"/>
        </w:rPr>
        <w:t xml:space="preserve">Guidance: pick 5–7 metrics and keep them identical quarter over quarter, so trends mean something. The "What it means for you" column is the whole point — a metric without a consequence is trivia.</w:t>
      </w:r>
    </w:p>
    <w:tbl>
      <w:tblPr>
        <w:tblW w:w="8640" w:type="dxa"/>
        <w:tblBorders>
          <w:top w:val="single" w:sz="4" w:color="D0D0D0"/>
          <w:left w:val="single" w:sz="4" w:color="D0D0D0"/>
          <w:bottom w:val="single" w:sz="4" w:color="D0D0D0"/>
          <w:right w:val="single" w:sz="4" w:color="D0D0D0"/>
          <w:insideH w:val="single" w:sz="4" w:color="D0D0D0"/>
          <w:insideV w:val="single" w:sz="4" w:color="D0D0D0"/>
        </w:tblBorders>
        <w:tblLayout w:type="fixed"/>
      </w:tblPr>
      <w:tblGrid>
        <w:gridCol w:w="2600"/>
        <w:gridCol w:w="1250"/>
        <w:gridCol w:w="1250"/>
        <w:gridCol w:w="800"/>
        <w:gridCol w:w="2740"/>
      </w:tblGrid>
      <w:tr>
        <w:tc>
          <w:tcPr>
            <w:tcW w:w="26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Metric</w:t>
            </w:r>
          </w:p>
        </w:tc>
        <w:tc>
          <w:tcPr>
            <w:tcW w:w="125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Target</w:t>
            </w:r>
          </w:p>
        </w:tc>
        <w:tc>
          <w:tcPr>
            <w:tcW w:w="125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Actual</w:t>
            </w:r>
          </w:p>
        </w:tc>
        <w:tc>
          <w:tcPr>
            <w:tcW w:w="8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RAG</w:t>
            </w:r>
          </w:p>
        </w:tc>
        <w:tc>
          <w:tcPr>
            <w:tcW w:w="274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What it means for you</w:t>
            </w:r>
          </w:p>
        </w:tc>
      </w:tr>
      <w:tr>
        <w:tc>
          <w:tcPr>
            <w:tcW w:w="2600" w:type="dxa"/>
          </w:tcPr>
          <w:p>
            <w:r>
              <w:rPr>
                <w:sz w:val="18"/>
                <w:szCs w:val="18"/>
              </w:rPr>
              <w:t xml:space="preserve">Avg. first response (business hrs)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[15 min]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800" w:type="dxa"/>
          </w:tcPr>
          <w:p>
            <w:r>
              <w:rPr>
                <w:sz w:val="18"/>
                <w:szCs w:val="18"/>
              </w:rPr>
              <w:t xml:space="preserve">[G/A/R]</w:t>
            </w:r>
          </w:p>
        </w:tc>
        <w:tc>
          <w:tcPr>
            <w:tcW w:w="2740" w:type="dxa"/>
          </w:tcPr>
          <w:p>
            <w:r>
              <w:rPr>
                <w:sz w:val="18"/>
                <w:szCs w:val="18"/>
              </w:rPr>
              <w:t xml:space="preserve">[How fast your team gets unblocked]</w:t>
            </w:r>
          </w:p>
        </w:tc>
      </w:tr>
      <w:tr>
        <w:tc>
          <w:tcPr>
            <w:tcW w:w="2600" w:type="dxa"/>
          </w:tcPr>
          <w:p>
            <w:r>
              <w:rPr>
                <w:sz w:val="18"/>
                <w:szCs w:val="18"/>
              </w:rPr>
              <w:t xml:space="preserve">Avg. time to resolution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[8 hrs]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800" w:type="dxa"/>
          </w:tcPr>
          <w:p>
            <w:r>
              <w:rPr>
                <w:sz w:val="18"/>
                <w:szCs w:val="18"/>
              </w:rPr>
              <w:t xml:space="preserve">[G/A/R]</w:t>
            </w:r>
          </w:p>
        </w:tc>
        <w:tc>
          <w:tcPr>
            <w:tcW w:w="274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</w:tr>
      <w:tr>
        <w:tc>
          <w:tcPr>
            <w:tcW w:w="2600" w:type="dxa"/>
          </w:tcPr>
          <w:p>
            <w:r>
              <w:rPr>
                <w:sz w:val="18"/>
                <w:szCs w:val="18"/>
              </w:rPr>
              <w:t xml:space="preserve">Client satisfaction (CSAT)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[95%]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800" w:type="dxa"/>
          </w:tcPr>
          <w:p>
            <w:r>
              <w:rPr>
                <w:sz w:val="18"/>
                <w:szCs w:val="18"/>
              </w:rPr>
              <w:t xml:space="preserve">[G/A/R]</w:t>
            </w:r>
          </w:p>
        </w:tc>
        <w:tc>
          <w:tcPr>
            <w:tcW w:w="274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</w:tr>
      <w:tr>
        <w:tc>
          <w:tcPr>
            <w:tcW w:w="2600" w:type="dxa"/>
          </w:tcPr>
          <w:p>
            <w:r>
              <w:rPr>
                <w:sz w:val="18"/>
                <w:szCs w:val="18"/>
              </w:rPr>
              <w:t xml:space="preserve">Patch compliance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[98%]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800" w:type="dxa"/>
          </w:tcPr>
          <w:p>
            <w:r>
              <w:rPr>
                <w:sz w:val="18"/>
                <w:szCs w:val="18"/>
              </w:rPr>
              <w:t xml:space="preserve">[G/A/R]</w:t>
            </w:r>
          </w:p>
        </w:tc>
        <w:tc>
          <w:tcPr>
            <w:tcW w:w="2740" w:type="dxa"/>
          </w:tcPr>
          <w:p>
            <w:r>
              <w:rPr>
                <w:sz w:val="18"/>
                <w:szCs w:val="18"/>
              </w:rPr>
              <w:t xml:space="preserve">[Exposure window for known exploits]</w:t>
            </w:r>
          </w:p>
        </w:tc>
      </w:tr>
      <w:tr>
        <w:tc>
          <w:tcPr>
            <w:tcW w:w="2600" w:type="dxa"/>
          </w:tcPr>
          <w:p>
            <w:r>
              <w:rPr>
                <w:sz w:val="18"/>
                <w:szCs w:val="18"/>
              </w:rPr>
              <w:t xml:space="preserve">Backup success rate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[100%]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800" w:type="dxa"/>
          </w:tcPr>
          <w:p>
            <w:r>
              <w:rPr>
                <w:sz w:val="18"/>
                <w:szCs w:val="18"/>
              </w:rPr>
              <w:t xml:space="preserve">[G/A/R]</w:t>
            </w:r>
          </w:p>
        </w:tc>
        <w:tc>
          <w:tcPr>
            <w:tcW w:w="2740" w:type="dxa"/>
          </w:tcPr>
          <w:p>
            <w:r>
              <w:rPr>
                <w:sz w:val="18"/>
                <w:szCs w:val="18"/>
              </w:rPr>
              <w:t xml:space="preserve">[Worst-case data loss window]</w:t>
            </w:r>
          </w:p>
        </w:tc>
      </w:tr>
      <w:tr>
        <w:tc>
          <w:tcPr>
            <w:tcW w:w="2600" w:type="dxa"/>
          </w:tcPr>
          <w:p>
            <w:r>
              <w:rPr>
                <w:sz w:val="18"/>
                <w:szCs w:val="18"/>
              </w:rPr>
              <w:t xml:space="preserve">Endpoints under management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[All]</w:t>
            </w:r>
          </w:p>
        </w:tc>
        <w:tc>
          <w:tcPr>
            <w:tcW w:w="125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800" w:type="dxa"/>
          </w:tcPr>
          <w:p>
            <w:r>
              <w:rPr>
                <w:sz w:val="18"/>
                <w:szCs w:val="18"/>
              </w:rPr>
              <w:t xml:space="preserve">[G/A/R]</w:t>
            </w:r>
          </w:p>
        </w:tc>
        <w:tc>
          <w:tcPr>
            <w:tcW w:w="2740" w:type="dxa"/>
          </w:tcPr>
          <w:p>
            <w:r>
              <w:rPr>
                <w:sz w:val="18"/>
                <w:szCs w:val="18"/>
              </w:rPr>
              <w:t xml:space="preserve">[Unmanaged devices = unpriced risk]</w:t>
            </w:r>
          </w:p>
        </w:tc>
      </w:tr>
    </w:tbl>
    <w:p>
      <w:pPr>
        <w:pStyle w:val="Heading1"/>
      </w:pPr>
      <w:r>
        <w:t xml:space="preserve">3. Support activity</w:t>
      </w:r>
    </w:p>
    <w:p>
      <w:r>
        <w:rPr>
          <w:i/>
          <w:color w:val="666666"/>
        </w:rPr>
        <w:t xml:space="preserve">Guidance: tell the story before the numbers. "Requests are down 20% since the printer fleet was replaced" is a narrative; "312 tickets" is a bill. Group by theme, flag anything trending the wrong way, and say what you did about it.</w:t>
      </w:r>
    </w:p>
    <w:p>
      <w:r>
        <w:t xml:space="preserve">Themes this quarter: [top 3 categories and what's driving them]</w:t>
      </w:r>
    </w:p>
    <w:p>
      <w:r>
        <w:t xml:space="preserve">Trending down because: [what you fixed at the root]</w:t>
      </w:r>
    </w:p>
    <w:p>
      <w:r>
        <w:t xml:space="preserve">Trending up because: [what changed on their side — new hires, new app, new site]</w:t>
      </w:r>
    </w:p>
    <w:p>
      <w:r>
        <w:t xml:space="preserve">Notable incidents: [anything they felt, with cause and prevention — own it plainly]</w:t>
      </w:r>
    </w:p>
    <w:p>
      <w:pPr>
        <w:pStyle w:val="Heading1"/>
      </w:pPr>
      <w:r>
        <w:t xml:space="preserve">4. Your environment: assets and lifecycle</w:t>
      </w:r>
    </w:p>
    <w:p>
      <w:r>
        <w:rPr>
          <w:i/>
          <w:color w:val="666666"/>
        </w:rPr>
        <w:t xml:space="preserve">Guidance: this section earns next year's hardware budget. Show age and warranty honestly, and attach a quarter and a number to every red row — a risk without a price is just nagging.</w:t>
      </w:r>
    </w:p>
    <w:tbl>
      <w:tblPr>
        <w:tblW w:w="8640" w:type="dxa"/>
        <w:tblBorders>
          <w:top w:val="single" w:sz="4" w:color="D0D0D0"/>
          <w:left w:val="single" w:sz="4" w:color="D0D0D0"/>
          <w:bottom w:val="single" w:sz="4" w:color="D0D0D0"/>
          <w:right w:val="single" w:sz="4" w:color="D0D0D0"/>
          <w:insideH w:val="single" w:sz="4" w:color="D0D0D0"/>
          <w:insideV w:val="single" w:sz="4" w:color="D0D0D0"/>
        </w:tblBorders>
        <w:tblLayout w:type="fixed"/>
      </w:tblPr>
      <w:tblGrid>
        <w:gridCol w:w="3200"/>
        <w:gridCol w:w="900"/>
        <w:gridCol w:w="2140"/>
        <w:gridCol w:w="1300"/>
        <w:gridCol w:w="1100"/>
      </w:tblGrid>
      <w:tr>
        <w:tc>
          <w:tcPr>
            <w:tcW w:w="32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Asset group</w:t>
            </w:r>
          </w:p>
        </w:tc>
        <w:tc>
          <w:tcPr>
            <w:tcW w:w="9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Count</w:t>
            </w:r>
          </w:p>
        </w:tc>
        <w:tc>
          <w:tcPr>
            <w:tcW w:w="214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Aging / out of warranty</w:t>
            </w:r>
          </w:p>
        </w:tc>
        <w:tc>
          <w:tcPr>
            <w:tcW w:w="13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Replace by</w:t>
            </w:r>
          </w:p>
        </w:tc>
        <w:tc>
          <w:tcPr>
            <w:tcW w:w="11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Est. cost</w:t>
            </w:r>
          </w:p>
        </w:tc>
      </w:tr>
      <w:tr>
        <w:tc>
          <w:tcPr>
            <w:tcW w:w="3200" w:type="dxa"/>
          </w:tcPr>
          <w:p>
            <w:r>
              <w:rPr>
                <w:sz w:val="18"/>
                <w:szCs w:val="18"/>
              </w:rPr>
              <w:t xml:space="preserve">Workstations / laptops</w:t>
            </w:r>
          </w:p>
        </w:tc>
        <w:tc>
          <w:tcPr>
            <w:tcW w:w="90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214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1300" w:type="dxa"/>
          </w:tcPr>
          <w:p>
            <w:r>
              <w:rPr>
                <w:sz w:val="18"/>
                <w:szCs w:val="18"/>
              </w:rPr>
              <w:t xml:space="preserve">[Qx 20xx]</w:t>
            </w:r>
          </w:p>
        </w:tc>
        <w:tc>
          <w:tcPr>
            <w:tcW w:w="1100" w:type="dxa"/>
          </w:tcPr>
          <w:p>
            <w:r>
              <w:rPr>
                <w:sz w:val="18"/>
                <w:szCs w:val="18"/>
              </w:rPr>
              <w:t xml:space="preserve">[$]</w:t>
            </w:r>
          </w:p>
        </w:tc>
      </w:tr>
      <w:tr>
        <w:tc>
          <w:tcPr>
            <w:tcW w:w="3200" w:type="dxa"/>
          </w:tcPr>
          <w:p>
            <w:r>
              <w:rPr>
                <w:sz w:val="18"/>
                <w:szCs w:val="18"/>
              </w:rPr>
              <w:t xml:space="preserve">Servers / hosts</w:t>
            </w:r>
          </w:p>
        </w:tc>
        <w:tc>
          <w:tcPr>
            <w:tcW w:w="90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214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130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1100" w:type="dxa"/>
          </w:tcPr>
          <w:p>
            <w:r>
              <w:rPr>
                <w:sz w:val="18"/>
                <w:szCs w:val="18"/>
              </w:rPr>
              <w:t xml:space="preserve">[$]</w:t>
            </w:r>
          </w:p>
        </w:tc>
      </w:tr>
      <w:tr>
        <w:tc>
          <w:tcPr>
            <w:tcW w:w="3200" w:type="dxa"/>
          </w:tcPr>
          <w:p>
            <w:r>
              <w:rPr>
                <w:sz w:val="18"/>
                <w:szCs w:val="18"/>
              </w:rPr>
              <w:t xml:space="preserve">Network (firewalls, switches, APs)</w:t>
            </w:r>
          </w:p>
        </w:tc>
        <w:tc>
          <w:tcPr>
            <w:tcW w:w="90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214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130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1100" w:type="dxa"/>
          </w:tcPr>
          <w:p>
            <w:r>
              <w:rPr>
                <w:sz w:val="18"/>
                <w:szCs w:val="18"/>
              </w:rPr>
              <w:t xml:space="preserve">[$]</w:t>
            </w:r>
          </w:p>
        </w:tc>
      </w:tr>
      <w:tr>
        <w:tc>
          <w:tcPr>
            <w:tcW w:w="3200" w:type="dxa"/>
          </w:tcPr>
          <w:p>
            <w:r>
              <w:rPr>
                <w:sz w:val="18"/>
                <w:szCs w:val="18"/>
              </w:rPr>
              <w:t xml:space="preserve">Licensing / SaaS renewals</w:t>
            </w:r>
          </w:p>
        </w:tc>
        <w:tc>
          <w:tcPr>
            <w:tcW w:w="90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2140" w:type="dxa"/>
          </w:tcPr>
          <w:p>
            <w:r>
              <w:rPr>
                <w:sz w:val="18"/>
                <w:szCs w:val="18"/>
              </w:rPr>
              <w:t xml:space="preserve">[renewal dates]</w:t>
            </w:r>
          </w:p>
        </w:tc>
        <w:tc>
          <w:tcPr>
            <w:tcW w:w="130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1100" w:type="dxa"/>
          </w:tcPr>
          <w:p>
            <w:r>
              <w:rPr>
                <w:sz w:val="18"/>
                <w:szCs w:val="18"/>
              </w:rPr>
              <w:t xml:space="preserve">[$]</w:t>
            </w:r>
          </w:p>
        </w:tc>
      </w:tr>
    </w:tbl>
    <w:p>
      <w:pPr>
        <w:pStyle w:val="Heading1"/>
      </w:pPr>
      <w:r>
        <w:t xml:space="preserve">5. Recommendations and commitments</w:t>
      </w:r>
    </w:p>
    <w:p>
      <w:r>
        <w:rPr>
          <w:i/>
          <w:color w:val="666666"/>
        </w:rPr>
        <w:t xml:space="preserve">Guidance: this ledger is the reason QBRs exist. Carry every open line forward each quarter — including the declined ones. When a client declines a recommendation, record it here in writing with the date: it keeps the decision honest, and if the risk lands later, the paper trail protects both of you.</w:t>
      </w:r>
    </w:p>
    <w:tbl>
      <w:tblPr>
        <w:tblW w:w="8640" w:type="dxa"/>
        <w:tblBorders>
          <w:top w:val="single" w:sz="4" w:color="D0D0D0"/>
          <w:left w:val="single" w:sz="4" w:color="D0D0D0"/>
          <w:bottom w:val="single" w:sz="4" w:color="D0D0D0"/>
          <w:right w:val="single" w:sz="4" w:color="D0D0D0"/>
          <w:insideH w:val="single" w:sz="4" w:color="D0D0D0"/>
          <w:insideV w:val="single" w:sz="4" w:color="D0D0D0"/>
        </w:tblBorders>
        <w:tblLayout w:type="fixed"/>
      </w:tblPr>
      <w:tblGrid>
        <w:gridCol w:w="2500"/>
        <w:gridCol w:w="950"/>
        <w:gridCol w:w="2100"/>
        <w:gridCol w:w="900"/>
        <w:gridCol w:w="1000"/>
        <w:gridCol w:w="1190"/>
      </w:tblGrid>
      <w:tr>
        <w:tc>
          <w:tcPr>
            <w:tcW w:w="25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Recommendation</w:t>
            </w:r>
          </w:p>
        </w:tc>
        <w:tc>
          <w:tcPr>
            <w:tcW w:w="95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Raised on</w:t>
            </w:r>
          </w:p>
        </w:tc>
        <w:tc>
          <w:tcPr>
            <w:tcW w:w="21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Business impact</w:t>
            </w:r>
          </w:p>
        </w:tc>
        <w:tc>
          <w:tcPr>
            <w:tcW w:w="9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Est. cost</w:t>
            </w:r>
          </w:p>
        </w:tc>
        <w:tc>
          <w:tcPr>
            <w:tcW w:w="10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Status</w:t>
            </w:r>
          </w:p>
        </w:tc>
        <w:tc>
          <w:tcPr>
            <w:tcW w:w="119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w="2500" w:type="dxa"/>
          </w:tcPr>
          <w:p>
            <w:r>
              <w:rPr>
                <w:sz w:val="18"/>
                <w:szCs w:val="18"/>
              </w:rPr>
              <w:t xml:space="preserve">[e.g. Retire Server-02 (2019, out of warranty)]</w:t>
            </w:r>
          </w:p>
        </w:tc>
        <w:tc>
          <w:tcPr>
            <w:tcW w:w="950" w:type="dxa"/>
          </w:tcPr>
          <w:p>
            <w:r>
              <w:rPr>
                <w:sz w:val="18"/>
                <w:szCs w:val="18"/>
              </w:rPr>
              <w:t xml:space="preserve">[date]</w:t>
            </w:r>
          </w:p>
        </w:tc>
        <w:tc>
          <w:tcPr>
            <w:tcW w:w="2100" w:type="dxa"/>
          </w:tcPr>
          <w:p>
            <w:r>
              <w:rPr>
                <w:sz w:val="18"/>
                <w:szCs w:val="18"/>
              </w:rPr>
              <w:t xml:space="preserve">[what breaks if it fails]</w:t>
            </w:r>
          </w:p>
        </w:tc>
        <w:tc>
          <w:tcPr>
            <w:tcW w:w="900" w:type="dxa"/>
          </w:tcPr>
          <w:p>
            <w:r>
              <w:rPr>
                <w:sz w:val="18"/>
                <w:szCs w:val="18"/>
              </w:rPr>
              <w:t xml:space="preserve">[$]</w:t>
            </w:r>
          </w:p>
        </w:tc>
        <w:tc>
          <w:tcPr>
            <w:tcW w:w="1000" w:type="dxa"/>
          </w:tcPr>
          <w:p>
            <w:r>
              <w:rPr>
                <w:sz w:val="18"/>
                <w:szCs w:val="18"/>
              </w:rPr>
              <w:t xml:space="preserve">Proposed</w:t>
            </w:r>
          </w:p>
        </w:tc>
        <w:tc>
          <w:tcPr>
            <w:tcW w:w="119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</w:tr>
      <w:tr>
        <w:tc>
          <w:tcPr>
            <w:tcW w:w="2500" w:type="dxa"/>
          </w:tcPr>
          <w:p>
            <w:r>
              <w:rPr>
                <w:sz w:val="18"/>
                <w:szCs w:val="18"/>
              </w:rPr>
              <w:t xml:space="preserve">[e.g. MFA on remaining 12 accounts]</w:t>
            </w:r>
          </w:p>
        </w:tc>
        <w:tc>
          <w:tcPr>
            <w:tcW w:w="950" w:type="dxa"/>
          </w:tcPr>
          <w:p>
            <w:r>
              <w:rPr>
                <w:sz w:val="18"/>
                <w:szCs w:val="18"/>
              </w:rPr>
              <w:t xml:space="preserve">[date]</w:t>
            </w:r>
          </w:p>
        </w:tc>
        <w:tc>
          <w:tcPr>
            <w:tcW w:w="2100" w:type="dxa"/>
          </w:tcPr>
          <w:p>
            <w:r>
              <w:rPr>
                <w:sz w:val="18"/>
                <w:szCs w:val="18"/>
              </w:rPr>
              <w:t xml:space="preserve">[account-takeover exposure]</w:t>
            </w:r>
          </w:p>
        </w:tc>
        <w:tc>
          <w:tcPr>
            <w:tcW w:w="900" w:type="dxa"/>
          </w:tcPr>
          <w:p>
            <w:r>
              <w:rPr>
                <w:sz w:val="18"/>
                <w:szCs w:val="18"/>
              </w:rPr>
              <w:t xml:space="preserve">[$]</w:t>
            </w:r>
          </w:p>
        </w:tc>
        <w:tc>
          <w:tcPr>
            <w:tcW w:w="1000" w:type="dxa"/>
          </w:tcPr>
          <w:p>
            <w:r>
              <w:rPr>
                <w:sz w:val="18"/>
                <w:szCs w:val="18"/>
              </w:rPr>
              <w:t xml:space="preserve">Approved</w:t>
            </w:r>
          </w:p>
        </w:tc>
        <w:tc>
          <w:tcPr>
            <w:tcW w:w="1190" w:type="dxa"/>
          </w:tcPr>
          <w:p>
            <w:r>
              <w:rPr>
                <w:sz w:val="18"/>
                <w:szCs w:val="18"/>
              </w:rPr>
              <w:t xml:space="preserve">[owner, target date]</w:t>
            </w:r>
          </w:p>
        </w:tc>
      </w:tr>
      <w:tr>
        <w:tc>
          <w:tcPr>
            <w:tcW w:w="2500" w:type="dxa"/>
          </w:tcPr>
          <w:p>
            <w:r>
              <w:rPr>
                <w:sz w:val="18"/>
                <w:szCs w:val="18"/>
              </w:rPr>
              <w:t xml:space="preserve">[e.g. Offsite backup for file server]</w:t>
            </w:r>
          </w:p>
        </w:tc>
        <w:tc>
          <w:tcPr>
            <w:tcW w:w="950" w:type="dxa"/>
          </w:tcPr>
          <w:p>
            <w:r>
              <w:rPr>
                <w:sz w:val="18"/>
                <w:szCs w:val="18"/>
              </w:rPr>
              <w:t xml:space="preserve">[date]</w:t>
            </w:r>
          </w:p>
        </w:tc>
        <w:tc>
          <w:tcPr>
            <w:tcW w:w="2100" w:type="dxa"/>
          </w:tcPr>
          <w:p>
            <w:r>
              <w:rPr>
                <w:sz w:val="18"/>
                <w:szCs w:val="18"/>
              </w:rPr>
              <w:t xml:space="preserve">[recovery time today vs after]</w:t>
            </w:r>
          </w:p>
        </w:tc>
        <w:tc>
          <w:tcPr>
            <w:tcW w:w="900" w:type="dxa"/>
          </w:tcPr>
          <w:p>
            <w:r>
              <w:rPr>
                <w:sz w:val="18"/>
                <w:szCs w:val="18"/>
              </w:rPr>
              <w:t xml:space="preserve">[$]</w:t>
            </w:r>
          </w:p>
        </w:tc>
        <w:tc>
          <w:tcPr>
            <w:tcW w:w="1000" w:type="dxa"/>
          </w:tcPr>
          <w:p>
            <w:r>
              <w:rPr>
                <w:sz w:val="18"/>
                <w:szCs w:val="18"/>
              </w:rPr>
              <w:t xml:space="preserve">Declined</w:t>
            </w:r>
          </w:p>
        </w:tc>
        <w:tc>
          <w:tcPr>
            <w:tcW w:w="1190" w:type="dxa"/>
          </w:tcPr>
          <w:p>
            <w:r>
              <w:rPr>
                <w:sz w:val="18"/>
                <w:szCs w:val="18"/>
              </w:rPr>
              <w:t xml:space="preserve">[declined by, date, reason]</w:t>
            </w:r>
          </w:p>
        </w:tc>
      </w:tr>
      <w:tr>
        <w:tc>
          <w:tcPr>
            <w:tcW w:w="2500" w:type="dxa"/>
          </w:tcPr>
          <w:p>
            <w:r>
              <w:rPr>
                <w:sz w:val="18"/>
                <w:szCs w:val="18"/>
              </w:rPr>
              <w:t xml:space="preserve">[Completed last quarter — keep one line as proof]</w:t>
            </w:r>
          </w:p>
        </w:tc>
        <w:tc>
          <w:tcPr>
            <w:tcW w:w="950" w:type="dxa"/>
          </w:tcPr>
          <w:p>
            <w:r>
              <w:rPr>
                <w:sz w:val="18"/>
                <w:szCs w:val="18"/>
              </w:rPr>
              <w:t xml:space="preserve">[date]</w:t>
            </w:r>
          </w:p>
        </w:tc>
        <w:tc>
          <w:tcPr>
            <w:tcW w:w="2100" w:type="dxa"/>
          </w:tcPr>
          <w:p>
            <w:r>
              <w:rPr>
                <w:sz w:val="18"/>
                <w:szCs w:val="18"/>
              </w:rPr>
              <w:t xml:space="preserve">[  ]</w:t>
            </w:r>
          </w:p>
        </w:tc>
        <w:tc>
          <w:tcPr>
            <w:tcW w:w="900" w:type="dxa"/>
          </w:tcPr>
          <w:p>
            <w:r>
              <w:rPr>
                <w:sz w:val="18"/>
                <w:szCs w:val="18"/>
              </w:rPr>
              <w:t xml:space="preserve">[$]</w:t>
            </w:r>
          </w:p>
        </w:tc>
        <w:tc>
          <w:tcPr>
            <w:tcW w:w="1000" w:type="dxa"/>
          </w:tcPr>
          <w:p>
            <w:r>
              <w:rPr>
                <w:sz w:val="18"/>
                <w:szCs w:val="18"/>
              </w:rPr>
              <w:t xml:space="preserve">Done</w:t>
            </w:r>
          </w:p>
        </w:tc>
        <w:tc>
          <w:tcPr>
            <w:tcW w:w="1190" w:type="dxa"/>
          </w:tcPr>
          <w:p>
            <w:r>
              <w:rPr>
                <w:sz w:val="18"/>
                <w:szCs w:val="18"/>
              </w:rPr>
              <w:t xml:space="preserve">[completed date]</w:t>
            </w:r>
          </w:p>
        </w:tc>
      </w:tr>
    </w:tbl>
    <w:p>
      <w:r>
        <w:rPr>
          <w:color w:val="666666"/>
        </w:rPr>
        <w:t xml:space="preserve">Status values: Proposed · Approved · Declined · Done</w:t>
      </w:r>
    </w:p>
    <w:p>
      <w:pPr>
        <w:pStyle w:val="Heading1"/>
      </w:pPr>
      <w:r>
        <w:t xml:space="preserve">6. Next steps</w:t>
      </w:r>
    </w:p>
    <w:p>
      <w:r>
        <w:t xml:space="preserve">Decisions made today: [list them back before anyone leaves the room]</w:t>
      </w:r>
    </w:p>
    <w:p>
      <w:r>
        <w:t xml:space="preserve">Owners and dates: [every action has one name and one date]</w:t>
      </w:r>
    </w:p>
    <w:p>
      <w:r>
        <w:t xml:space="preserve">Next review: [date, booked before the meeting ends]</w:t>
      </w:r>
    </w:p>
    <w:p>
      <w:pPr>
        <w:pStyle w:val="Heading1"/>
      </w:pPr>
      <w:r>
        <w:t xml:space="preserve">Appendix</w:t>
      </w:r>
    </w:p>
    <w:p>
      <w:r>
        <w:rPr>
          <w:i/>
          <w:color w:val="666666"/>
        </w:rPr>
        <w:t xml:space="preserve">Raw detail lives here, not in the meeting: full ticket list, asset inventory, patch report, backup logs. Anyone who wants to audit the numbers can — nobody has to sit through them.</w:t>
      </w:r>
    </w:p>
    <w:p>
      <w:pPr>
        <w:spacing w:after="200"/>
      </w:pPr>
    </w:p>
    <w:p>
      <w:pPr>
        <w:spacing w:before="360"/>
      </w:pPr>
      <w:r>
        <w:rPr>
          <w:color w:val="999999"/>
          <w:sz w:val="16"/>
          <w:szCs w:val="16"/>
        </w:rPr>
        <w:t xml:space="preserve">Template by QBR Studio (qbrstudio.com) — or connect your PSA and skip the template: your QBRs prepare themselves.</w:t>
      </w:r>
    </w:p>
    <w:sectPr>
      <w:pgSz w:w="12240" w:h="15840"/>
      <w:pgMar w:top="1260" w:right="1260" w:bottom="1260" w:left="1260" w:header="720" w:footer="72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1"/>
        <w:szCs w:val="21"/>
      </w:rPr>
    </w:rPrDefault>
    <w:pPrDefault>
      <w:pPr>
        <w:spacing w:after="140" w:line="276" w:lineRule="auto"/>
      </w:pPr>
    </w:pPrDefault>
  </w:docDefaults>
  <w:style w:type="paragraph" w:default="1" w:styleId="Normal">
    <w:name w:val="Normal"/>
  </w:style>
  <w:style w:type="paragraph" w:styleId="Title">
    <w:name w:val="Title"/>
    <w:basedOn w:val="Normal"/>
    <w:pPr>
      <w:spacing w:before="0" w:after="120"/>
    </w:pPr>
    <w:rPr>
      <w:b/>
      <w:sz w:val="52"/>
      <w:szCs w:val="52"/>
      <w:color w:val="111111"/>
    </w:rPr>
  </w:style>
  <w:style w:type="paragraph" w:styleId="Heading1">
    <w:name w:val="heading 1"/>
    <w:basedOn w:val="Normal"/>
    <w:pPr>
      <w:keepNext/>
      <w:spacing w:before="360" w:after="120"/>
      <w:outlineLvl w:val="0"/>
    </w:pPr>
    <w:rPr>
      <w:b/>
      <w:sz w:val="30"/>
      <w:szCs w:val="30"/>
      <w:color w:val="111111"/>
    </w:rPr>
  </w:style>
  <w:style w:type="paragraph" w:styleId="Heading2">
    <w:name w:val="heading 2"/>
    <w:basedOn w:val="Normal"/>
    <w:pPr>
      <w:keepNext/>
      <w:spacing w:before="240" w:after="80"/>
      <w:outlineLvl w:val="1"/>
    </w:pPr>
    <w:rPr>
      <w:b/>
      <w:sz w:val="24"/>
      <w:szCs w:val="24"/>
      <w:color w:val="333333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