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QBR meeting agenda</w:t>
      </w:r>
    </w:p>
    <w:p>
      <w:pPr>
        <w:spacing w:after="200"/>
      </w:pPr>
      <w:r>
        <w:rPr>
          <w:color w:val="666666"/>
        </w:rPr>
        <w:t xml:space="preserve">[Client name]  ·  [Date]  ·  60 minutes</w:t>
      </w:r>
    </w:p>
    <w:p>
      <w:r>
        <w:rPr>
          <w:i/>
          <w:color w:val="666666"/>
        </w:rPr>
        <w:t xml:space="preserve">Ground rule: this is a business meeting, not a support review. If a topic turns into troubleshooting, park it in a ticket and move on.</w:t>
      </w:r>
    </w:p>
    <w:tbl>
      <w:tblPr>
        <w:tblW w:w="8640" w:type="dxa"/>
        <w:tblBorders>
          <w:top w:val="single" w:sz="4" w:color="D0D0D0"/>
          <w:left w:val="single" w:sz="4" w:color="D0D0D0"/>
          <w:bottom w:val="single" w:sz="4" w:color="D0D0D0"/>
          <w:right w:val="single" w:sz="4" w:color="D0D0D0"/>
          <w:insideH w:val="single" w:sz="4" w:color="D0D0D0"/>
          <w:insideV w:val="single" w:sz="4" w:color="D0D0D0"/>
        </w:tblBorders>
        <w:tblLayout w:type="fixed"/>
      </w:tblPr>
      <w:tblGrid>
        <w:gridCol w:w="1300"/>
        <w:gridCol w:w="2900"/>
        <w:gridCol w:w="4440"/>
      </w:tblGrid>
      <w:tr>
        <w:tc>
          <w:tcPr>
            <w:tcW w:w="1300" w:type="dxa"/>
            <w:shd w:val="clear" w:color="auto" w:fill="F2F2F2"/>
          </w:tcPr>
          <w:p>
            <w:r>
              <w:rPr>
                <w:b/>
                <w:sz w:val="18"/>
                <w:szCs w:val="18"/>
              </w:rPr>
              <w:t xml:space="preserve">Time</w:t>
            </w:r>
          </w:p>
        </w:tc>
        <w:tc>
          <w:tcPr>
            <w:tcW w:w="2900" w:type="dxa"/>
            <w:shd w:val="clear" w:color="auto" w:fill="F2F2F2"/>
          </w:tcPr>
          <w:p>
            <w:r>
              <w:rPr>
                <w:b/>
                <w:sz w:val="18"/>
                <w:szCs w:val="18"/>
              </w:rPr>
              <w:t xml:space="preserve">Item</w:t>
            </w:r>
          </w:p>
        </w:tc>
        <w:tc>
          <w:tcPr>
            <w:tcW w:w="4440" w:type="dxa"/>
            <w:shd w:val="clear" w:color="auto" w:fill="F2F2F2"/>
          </w:tcPr>
          <w:p>
            <w:r>
              <w:rPr>
                <w:b/>
                <w:sz w:val="18"/>
                <w:szCs w:val="18"/>
              </w:rPr>
              <w:t xml:space="preserve">What good looks like</w:t>
            </w:r>
          </w:p>
        </w:tc>
      </w:tr>
      <w:tr>
        <w:tc>
          <w:tcPr>
            <w:tcW w:w="1300" w:type="dxa"/>
          </w:tcPr>
          <w:p>
            <w:r>
              <w:rPr>
                <w:sz w:val="18"/>
                <w:szCs w:val="18"/>
              </w:rPr>
              <w:t xml:space="preserve">0:00–0:10</w:t>
            </w:r>
          </w:p>
        </w:tc>
        <w:tc>
          <w:tcPr>
            <w:tcW w:w="2900" w:type="dxa"/>
          </w:tcPr>
          <w:p>
            <w:r>
              <w:rPr>
                <w:sz w:val="18"/>
                <w:szCs w:val="18"/>
              </w:rPr>
              <w:t xml:space="preserve">Wins and service scorecard</w:t>
            </w:r>
          </w:p>
        </w:tc>
        <w:tc>
          <w:tcPr>
            <w:tcW w:w="4440" w:type="dxa"/>
          </w:tcPr>
          <w:p>
            <w:r>
              <w:rPr>
                <w:sz w:val="18"/>
                <w:szCs w:val="18"/>
              </w:rPr>
              <w:t xml:space="preserve">Outcomes first, metrics second. No raw ticket counts without context.</w:t>
            </w:r>
          </w:p>
        </w:tc>
      </w:tr>
      <w:tr>
        <w:tc>
          <w:tcPr>
            <w:tcW w:w="1300" w:type="dxa"/>
          </w:tcPr>
          <w:p>
            <w:r>
              <w:rPr>
                <w:sz w:val="18"/>
                <w:szCs w:val="18"/>
              </w:rPr>
              <w:t xml:space="preserve">0:10–0:20</w:t>
            </w:r>
          </w:p>
        </w:tc>
        <w:tc>
          <w:tcPr>
            <w:tcW w:w="2900" w:type="dxa"/>
          </w:tcPr>
          <w:p>
            <w:r>
              <w:rPr>
                <w:sz w:val="18"/>
                <w:szCs w:val="18"/>
              </w:rPr>
              <w:t xml:space="preserve">What changed in your environment</w:t>
            </w:r>
          </w:p>
        </w:tc>
        <w:tc>
          <w:tcPr>
            <w:tcW w:w="4440" w:type="dxa"/>
          </w:tcPr>
          <w:p>
            <w:r>
              <w:rPr>
                <w:sz w:val="18"/>
                <w:szCs w:val="18"/>
              </w:rPr>
              <w:t xml:space="preserve">New people, new apps, new sites, new risks — theirs and yours.</w:t>
            </w:r>
          </w:p>
        </w:tc>
      </w:tr>
      <w:tr>
        <w:tc>
          <w:tcPr>
            <w:tcW w:w="1300" w:type="dxa"/>
          </w:tcPr>
          <w:p>
            <w:r>
              <w:rPr>
                <w:sz w:val="18"/>
                <w:szCs w:val="18"/>
              </w:rPr>
              <w:t xml:space="preserve">0:20–0:30</w:t>
            </w:r>
          </w:p>
        </w:tc>
        <w:tc>
          <w:tcPr>
            <w:tcW w:w="2900" w:type="dxa"/>
          </w:tcPr>
          <w:p>
            <w:r>
              <w:rPr>
                <w:sz w:val="18"/>
                <w:szCs w:val="18"/>
              </w:rPr>
              <w:t xml:space="preserve">Commitments review</w:t>
            </w:r>
          </w:p>
        </w:tc>
        <w:tc>
          <w:tcPr>
            <w:tcW w:w="4440" w:type="dxa"/>
          </w:tcPr>
          <w:p>
            <w:r>
              <w:rPr>
                <w:sz w:val="18"/>
                <w:szCs w:val="18"/>
              </w:rPr>
              <w:t xml:space="preserve">Every line from last quarter's ledger: done, in progress, or honestly stuck.</w:t>
            </w:r>
          </w:p>
        </w:tc>
      </w:tr>
      <w:tr>
        <w:tc>
          <w:tcPr>
            <w:tcW w:w="1300" w:type="dxa"/>
          </w:tcPr>
          <w:p>
            <w:r>
              <w:rPr>
                <w:sz w:val="18"/>
                <w:szCs w:val="18"/>
              </w:rPr>
              <w:t xml:space="preserve">0:30–0:50</w:t>
            </w:r>
          </w:p>
        </w:tc>
        <w:tc>
          <w:tcPr>
            <w:tcW w:w="2900" w:type="dxa"/>
          </w:tcPr>
          <w:p>
            <w:r>
              <w:rPr>
                <w:sz w:val="18"/>
                <w:szCs w:val="18"/>
              </w:rPr>
              <w:t xml:space="preserve">Recommendations and budget</w:t>
            </w:r>
          </w:p>
        </w:tc>
        <w:tc>
          <w:tcPr>
            <w:tcW w:w="4440" w:type="dxa"/>
          </w:tcPr>
          <w:p>
            <w:r>
              <w:rPr>
                <w:sz w:val="18"/>
                <w:szCs w:val="18"/>
              </w:rPr>
              <w:t xml:space="preserve">Each item has a business impact and a price. Declines get recorded in writing.</w:t>
            </w:r>
          </w:p>
        </w:tc>
      </w:tr>
      <w:tr>
        <w:tc>
          <w:tcPr>
            <w:tcW w:w="1300" w:type="dxa"/>
          </w:tcPr>
          <w:p>
            <w:r>
              <w:rPr>
                <w:sz w:val="18"/>
                <w:szCs w:val="18"/>
              </w:rPr>
              <w:t xml:space="preserve">0:50–1:00</w:t>
            </w:r>
          </w:p>
        </w:tc>
        <w:tc>
          <w:tcPr>
            <w:tcW w:w="2900" w:type="dxa"/>
          </w:tcPr>
          <w:p>
            <w:r>
              <w:rPr>
                <w:sz w:val="18"/>
                <w:szCs w:val="18"/>
              </w:rPr>
              <w:t xml:space="preserve">Next steps</w:t>
            </w:r>
          </w:p>
        </w:tc>
        <w:tc>
          <w:tcPr>
            <w:tcW w:w="4440" w:type="dxa"/>
          </w:tcPr>
          <w:p>
            <w:r>
              <w:rPr>
                <w:sz w:val="18"/>
                <w:szCs w:val="18"/>
              </w:rPr>
              <w:t xml:space="preserve">Decisions read back, owners and dates assigned, next QBR booked.</w:t>
            </w:r>
          </w:p>
        </w:tc>
      </w:tr>
    </w:tbl>
    <w:p>
      <w:pPr>
        <w:pStyle w:val="Heading2"/>
      </w:pPr>
      <w:r>
        <w:t xml:space="preserve">Before the meeting</w:t>
      </w:r>
    </w:p>
    <w:p>
      <w:r>
        <w:t xml:space="preserve">Send the report 2–3 days ahead. Confirm a decision-maker will attend — a QBR without one is a status call.</w:t>
      </w:r>
    </w:p>
    <w:p>
      <w:pPr>
        <w:pStyle w:val="Heading2"/>
      </w:pPr>
      <w:r>
        <w:t xml:space="preserve">After the meeting</w:t>
      </w:r>
    </w:p>
    <w:p>
      <w:r>
        <w:t xml:space="preserve">Send the decisions and the updated commitments ledger the same day, while it's still true.</w:t>
      </w:r>
    </w:p>
    <w:p>
      <w:pPr>
        <w:spacing w:before="360"/>
      </w:pPr>
      <w:r>
        <w:rPr>
          <w:color w:val="999999"/>
          <w:sz w:val="16"/>
          <w:szCs w:val="16"/>
        </w:rPr>
        <w:t xml:space="preserve">Template by QBR Studio (qbrstudio.com) — or connect your PSA and skip the template: your QBRs prepare themselves.</w:t>
      </w:r>
    </w:p>
    <w:sectPr>
      <w:pgSz w:w="12240" w:h="15840"/>
      <w:pgMar w:top="1260" w:right="1260" w:bottom="1260" w:left="1260" w:header="720" w:footer="72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1"/>
        <w:szCs w:val="21"/>
      </w:rPr>
    </w:rPrDefault>
    <w:pPrDefault>
      <w:pPr>
        <w:spacing w:after="140" w:line="276" w:lineRule="auto"/>
      </w:pPr>
    </w:pPrDefault>
  </w:docDefaults>
  <w:style w:type="paragraph" w:default="1" w:styleId="Normal">
    <w:name w:val="Normal"/>
  </w:style>
  <w:style w:type="paragraph" w:styleId="Title">
    <w:name w:val="Title"/>
    <w:basedOn w:val="Normal"/>
    <w:pPr>
      <w:spacing w:before="0" w:after="120"/>
    </w:pPr>
    <w:rPr>
      <w:b/>
      <w:sz w:val="52"/>
      <w:szCs w:val="52"/>
      <w:color w:val="111111"/>
    </w:rPr>
  </w:style>
  <w:style w:type="paragraph" w:styleId="Heading1">
    <w:name w:val="heading 1"/>
    <w:basedOn w:val="Normal"/>
    <w:pPr>
      <w:keepNext/>
      <w:spacing w:before="360" w:after="120"/>
      <w:outlineLvl w:val="0"/>
    </w:pPr>
    <w:rPr>
      <w:b/>
      <w:sz w:val="30"/>
      <w:szCs w:val="30"/>
      <w:color w:val="111111"/>
    </w:rPr>
  </w:style>
  <w:style w:type="paragraph" w:styleId="Heading2">
    <w:name w:val="heading 2"/>
    <w:basedOn w:val="Normal"/>
    <w:pPr>
      <w:keepNext/>
      <w:spacing w:before="240" w:after="80"/>
      <w:outlineLvl w:val="1"/>
    </w:pPr>
    <w:rPr>
      <w:b/>
      <w:sz w:val="24"/>
      <w:szCs w:val="24"/>
      <w:color w:val="333333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</file>